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D" w:rsidRPr="00947D61" w:rsidRDefault="00495F5D" w:rsidP="00947D61">
      <w:pPr>
        <w:widowControl/>
        <w:spacing w:line="520" w:lineRule="exact"/>
        <w:jc w:val="center"/>
        <w:textAlignment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947D61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关于开展20</w:t>
      </w:r>
      <w:r w:rsidR="008459A3" w:rsidRPr="00947D61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20</w:t>
      </w:r>
      <w:r w:rsidRPr="00947D61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年工会理论研究与调查研究工作的通知</w:t>
      </w:r>
    </w:p>
    <w:p w:rsidR="006F1207" w:rsidRPr="00947D61" w:rsidRDefault="006F1207" w:rsidP="00947D61">
      <w:pPr>
        <w:widowControl/>
        <w:spacing w:line="520" w:lineRule="exact"/>
        <w:jc w:val="center"/>
        <w:textAlignment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</w:p>
    <w:p w:rsidR="00495F5D" w:rsidRPr="00947D61" w:rsidRDefault="00F31F15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各高校工会、各区</w:t>
      </w:r>
      <w:r w:rsidR="00495F5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教育工会、各直属工会：</w:t>
      </w:r>
    </w:p>
    <w:p w:rsid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为深入学习贯彻习近平总书记</w:t>
      </w:r>
      <w:r w:rsidR="006F1207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新时代特色社会主义思想</w:t>
      </w:r>
      <w:r w:rsidR="008D0F57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特别是习近平总书记关于工人阶级和工会工作的重要论述以及</w:t>
      </w:r>
      <w:r w:rsidR="00171AD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党的十九大四中全会精神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8D0F57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把全会精神贯彻落实到工会工作全过程、各方面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381CD4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要深化工会改革，进一步建机制、强功能、增实效，构建联系广泛、服务职工的工会工作体系。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上海市教育系统工会理论研究会决定根据《上海市教育系统工会理论研究会研究课题实施细则》（附件1），开展20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年工会理论研究和调查研究工作。现将有关事项通知如下：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一、参考课题</w:t>
      </w:r>
    </w:p>
    <w:p w:rsidR="00E57DC9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1、</w:t>
      </w:r>
      <w:r w:rsidR="00F1639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习近平关于劳动、工人阶级和工会工作论述的专题研究；</w:t>
      </w:r>
    </w:p>
    <w:p w:rsidR="00B95213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中国特色社会主义工会发展道路的制度优势研究；</w:t>
      </w:r>
    </w:p>
    <w:p w:rsidR="00B95213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中国工会的职责与职能研究；</w:t>
      </w:r>
    </w:p>
    <w:p w:rsidR="00495F5D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5240AF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新时代教育工会干部队伍建设问题研究；</w:t>
      </w:r>
    </w:p>
    <w:p w:rsidR="00495F5D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 w:rsidR="00495F5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关于</w:t>
      </w:r>
      <w:r w:rsidR="005240AF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区教育工会对基层工会的监管制度调查研究；</w:t>
      </w:r>
    </w:p>
    <w:p w:rsidR="00E57DC9" w:rsidRPr="00947D61" w:rsidRDefault="008459A3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</w:t>
      </w:r>
      <w:r w:rsidR="00495F5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关于</w:t>
      </w:r>
      <w:r w:rsidR="005240AF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区教育工会对基层工会考核机制的探索；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、新时代高校工会的“初心”与“使命”研究；</w:t>
      </w:r>
    </w:p>
    <w:p w:rsidR="00B95213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高校工会在加强思想引领方面工作的途径；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、上海高校工会文化活动品牌建设研究；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、教育系统基层工会文体协会开展情况及需求的调研；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11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、工会“增三性”中教工文体协会的作用；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1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、跨校区高校的教工权益平衡机制问题；</w:t>
      </w:r>
    </w:p>
    <w:p w:rsidR="00495F5D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13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5240AF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教育工会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服务新进教师的着力点研究；</w:t>
      </w:r>
    </w:p>
    <w:p w:rsidR="00495F5D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14</w:t>
      </w:r>
      <w:r w:rsidR="00495F5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从事基础教育教职工福利、健康情况、维</w:t>
      </w:r>
      <w:proofErr w:type="gramStart"/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权情况</w:t>
      </w:r>
      <w:proofErr w:type="gramEnd"/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等方面的调查研究；</w:t>
      </w:r>
    </w:p>
    <w:p w:rsidR="00495F5D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15</w:t>
      </w:r>
      <w:r w:rsidR="00495F5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近年来高校教辅和行政人员工作特点变化研究；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16</w:t>
      </w:r>
      <w:r w:rsidR="00495F5D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双一流大学建设背景下海</w:t>
      </w:r>
      <w:proofErr w:type="gramStart"/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归青年</w:t>
      </w:r>
      <w:proofErr w:type="gramEnd"/>
      <w:r w:rsidR="00B9521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教师立德树人的长效机制研究；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、教代会在高校治理体系的作用与机制研究；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、教代会制度或学校民主管理制度研究；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、教代会代表的构成特点及作用发挥的实证研究；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216B0C" w:rsidRPr="00216B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教育系统灵活就业人员权益保障的现状、问题与对策研究</w:t>
      </w:r>
      <w:r w:rsidR="00216B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</w:t>
      </w:r>
    </w:p>
    <w:p w:rsidR="00E57DC9" w:rsidRPr="00947D61" w:rsidRDefault="00E57DC9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401FE1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新形势下，</w:t>
      </w:r>
      <w:r w:rsidR="00741620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探索教育系统优秀女性团体服务妇女、服务妇女事业、服务社会发展的功能和有效途径</w:t>
      </w:r>
      <w:r w:rsidR="008459A3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8459A3" w:rsidRPr="00947D61" w:rsidRDefault="008459A3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、研究二孩政策对女教师职业生涯发展的影响；</w:t>
      </w:r>
    </w:p>
    <w:p w:rsidR="00947D61" w:rsidRDefault="008459A3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、关于教职工子女晚托班、</w:t>
      </w:r>
      <w:proofErr w:type="gramStart"/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暑托班</w:t>
      </w:r>
      <w:proofErr w:type="gramEnd"/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的调查研究</w:t>
      </w:r>
      <w:r w:rsidR="00423FD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423FD2" w:rsidRDefault="00423FD2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24、</w:t>
      </w:r>
      <w:r w:rsidRPr="00423FD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关于本市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教育系统</w:t>
      </w:r>
      <w:r w:rsidRPr="00423FD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工会干部队伍情况的调研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423FD2" w:rsidRDefault="00423FD2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25、</w:t>
      </w:r>
      <w:r w:rsidRPr="00423FD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新时代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</w:t>
      </w:r>
      <w:r w:rsidRPr="00423FD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职工思想状况的调研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D31EE6" w:rsidRDefault="00423FD2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26、关于</w:t>
      </w:r>
      <w:r w:rsidRPr="00423FD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网上工会服务工作的调研</w:t>
      </w:r>
      <w:r w:rsidR="00D31EE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D31EE6" w:rsidRPr="00216B0C" w:rsidRDefault="00D31EE6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16B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27、工会工作其他热点、难点、重点问题的研究与对策。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二、相关要求和说明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1、申请办法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请各基层工会根据以上参考课题或提出自主研究课题，组织人员积极申报，认真填写《上海市教育系统工会理论研究课题申请书》（附件2），于3月31日前将申请书电子版发送电邮至：ghllyj@126.com，纸质版寄送至上海市教育系统工会理论研究会秘书处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2、申请限额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各基层工会限报最多4项课题</w:t>
      </w:r>
      <w:r w:rsid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超过4项不予接收。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3、立项办法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市教育系统工会理论研究会将组织专家进行评审，通过评审的课题给予立项。根据课题研究重要性及立项评审情况将课题分为委托课题、自主研究课题两类，市教育工会根据工作要求选择一到三项委托课题设立重点课题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4、课题研究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研究课题可跨单位联合申报，实行课题负责</w:t>
      </w:r>
      <w:proofErr w:type="gramStart"/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人制</w:t>
      </w:r>
      <w:proofErr w:type="gramEnd"/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立项课题设课题负责人1名，课题负责人所在会员团体单位为课题承担单位。课题负责人组织、指导开展团队化研究，团队一般应有3-5人。课题研究周期一般为1年，对确需延长年限的，由课题负责人提出申请，专家组讨论决定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5、课题经费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市教育工会将给予立项委托课题资助经费15000元，立项自主研究课题资助经费5000元，重点课题所涉及的团体会员单位按照委托课题资助额度资助。课题负责人所在团体会员单位做相应的配套。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6、结题和验收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各立项课题要在规定时间内参加中期答辩和结题评审，具体依据《上海市教育系统工会理论研究会研究课题实施细则》实施开展。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项课题通过调研报告或论文的形式完成。结题报告格式要求具体为：（1）标题用黑体三号居中；（2）标题下居中用宋体小四号字体写明单位名称及撰写人；（3）内容提要（150字以内）、关键词等表述文字用黑体小四号；（4）正文用宋体小四号，小标题加粗，单</w:t>
      </w:r>
      <w:proofErr w:type="gramStart"/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倍</w:t>
      </w:r>
      <w:proofErr w:type="gramEnd"/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行距；（5）参考文献（引文题目、书刊名、刊等）用宋体五号；（6）文章结尾须注明执笔人、工作单位、职务与职称、形成时间、详细通讯地址、邮编、主要联系人及联系电话，用宋体小四号。研究成果要求上报电子文稿，上报邮箱：ghllyj@126.com，邮件主题要标明“上海市教育系统工会理论研究会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年立项课题结题报告”。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工会理论研究会鼓励各课题组向相关期刊杂志积极投递研究论文，公开发表论文将作为评审结题的重要依据之一。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7、评比奖励</w:t>
      </w:r>
    </w:p>
    <w:p w:rsidR="00495F5D" w:rsidRPr="00947D61" w:rsidRDefault="00495F5D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课题研究完成后，市教育系统工会理论研究会将组织专家进行评比总结，对优秀的研究成果进行奖励。同时将择优推荐参加市总工会、中国教科文卫体工会工作调研和论文评选活动。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8、工作进度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年3月31日前，完成课题申报。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年4月1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日前，立项评审及立项课题发布。</w:t>
      </w:r>
    </w:p>
    <w:p w:rsidR="00495F5D" w:rsidRPr="00947D61" w:rsidRDefault="00495F5D" w:rsidP="003A6F33">
      <w:pPr>
        <w:widowControl/>
        <w:spacing w:after="150" w:line="520" w:lineRule="exact"/>
        <w:ind w:firstLineChars="400" w:firstLine="11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年4月——20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年11月，立项课题组开展研究。</w:t>
      </w:r>
    </w:p>
    <w:p w:rsidR="00495F5D" w:rsidRPr="00947D61" w:rsidRDefault="00495F5D" w:rsidP="003A6F33">
      <w:pPr>
        <w:widowControl/>
        <w:spacing w:after="150" w:line="520" w:lineRule="exact"/>
        <w:ind w:firstLineChars="400" w:firstLine="112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年9月</w:t>
      </w:r>
      <w:r w:rsid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下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旬，进行课题中期评审。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年12月</w:t>
      </w:r>
      <w:r w:rsid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日前，完成课题报告[调研报告或（公开发表的）论文]，上交市教育工会。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年12月底前，市教育工会组织专家对课题报告进行评审。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21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年1月，对立项课题优秀成果表彰奖励。</w:t>
      </w:r>
    </w:p>
    <w:p w:rsidR="00040762" w:rsidRDefault="00040762" w:rsidP="00947D61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040762" w:rsidRDefault="00495F5D" w:rsidP="00040762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上海市教育系统工会理论研究会秘书处联系方式：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陈晓丹老师（</w:t>
      </w:r>
      <w:r w:rsidR="00807BF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62157020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），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张敏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老师（38284100/13671661564）。</w:t>
      </w:r>
    </w:p>
    <w:p w:rsidR="00495F5D" w:rsidRPr="00947D61" w:rsidRDefault="00495F5D" w:rsidP="00040762">
      <w:pPr>
        <w:widowControl/>
        <w:spacing w:after="150"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材料寄送地址：上海市浦东新区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海港大道1550号图书馆B905-1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040762"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邮编：20</w:t>
      </w:r>
      <w:r w:rsidR="00040762">
        <w:rPr>
          <w:rFonts w:ascii="仿宋" w:eastAsia="仿宋" w:hAnsi="仿宋" w:cs="宋体"/>
          <w:color w:val="333333"/>
          <w:kern w:val="0"/>
          <w:sz w:val="28"/>
          <w:szCs w:val="28"/>
        </w:rPr>
        <w:t>1306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，张敏老师（</w:t>
      </w:r>
      <w:r w:rsidR="00040762" w:rsidRPr="00040762">
        <w:rPr>
          <w:rFonts w:ascii="仿宋" w:eastAsia="仿宋" w:hAnsi="仿宋" w:cs="宋体"/>
          <w:color w:val="333333"/>
          <w:kern w:val="0"/>
          <w:sz w:val="28"/>
          <w:szCs w:val="28"/>
        </w:rPr>
        <w:t>38284100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/</w:t>
      </w:r>
      <w:r w:rsidR="00040762">
        <w:rPr>
          <w:rFonts w:ascii="仿宋" w:eastAsia="仿宋" w:hAnsi="仿宋" w:cs="宋体"/>
          <w:color w:val="333333"/>
          <w:kern w:val="0"/>
          <w:sz w:val="28"/>
          <w:szCs w:val="28"/>
        </w:rPr>
        <w:t>13671661564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附件1：《上海市教育系统工会理论研究会研究课题实施细则》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附件2：《上海市教育系统工会理论研究课题申请书》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</w:p>
    <w:p w:rsidR="00495F5D" w:rsidRPr="00947D61" w:rsidRDefault="00495F5D" w:rsidP="00947D61">
      <w:pPr>
        <w:widowControl/>
        <w:spacing w:after="150" w:line="52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</w:p>
    <w:p w:rsidR="008459A3" w:rsidRPr="00947D61" w:rsidRDefault="00495F5D" w:rsidP="00947D61">
      <w:pPr>
        <w:widowControl/>
        <w:spacing w:after="150" w:line="520" w:lineRule="exact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中国教育工会上海市委员会</w:t>
      </w:r>
    </w:p>
    <w:p w:rsidR="005A1E93" w:rsidRPr="00947D61" w:rsidRDefault="00495F5D" w:rsidP="00947D61">
      <w:pPr>
        <w:widowControl/>
        <w:wordWrap w:val="0"/>
        <w:spacing w:after="150" w:line="520" w:lineRule="exact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 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8459A3" w:rsidRPr="00947D61">
        <w:rPr>
          <w:rFonts w:ascii="仿宋" w:eastAsia="仿宋" w:hAnsi="仿宋" w:cs="宋体"/>
          <w:color w:val="333333"/>
          <w:kern w:val="0"/>
          <w:sz w:val="28"/>
          <w:szCs w:val="28"/>
        </w:rPr>
        <w:t>20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04076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1F102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17</w:t>
      </w:r>
      <w:r w:rsidRP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 w:rsidR="00947D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="00947D61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  <w:bookmarkStart w:id="0" w:name="_GoBack"/>
      <w:bookmarkEnd w:id="0"/>
    </w:p>
    <w:sectPr w:rsidR="005A1E93" w:rsidRPr="00947D61" w:rsidSect="00196F1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DE" w:rsidRDefault="006025DE" w:rsidP="00807BFE">
      <w:r>
        <w:separator/>
      </w:r>
    </w:p>
  </w:endnote>
  <w:endnote w:type="continuationSeparator" w:id="0">
    <w:p w:rsidR="006025DE" w:rsidRDefault="006025DE" w:rsidP="0080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DE" w:rsidRDefault="006025DE" w:rsidP="00807BFE">
      <w:r>
        <w:separator/>
      </w:r>
    </w:p>
  </w:footnote>
  <w:footnote w:type="continuationSeparator" w:id="0">
    <w:p w:rsidR="006025DE" w:rsidRDefault="006025DE" w:rsidP="0080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F5D"/>
    <w:rsid w:val="00040762"/>
    <w:rsid w:val="000C5915"/>
    <w:rsid w:val="00115008"/>
    <w:rsid w:val="00171AD3"/>
    <w:rsid w:val="00196F1E"/>
    <w:rsid w:val="001D39BA"/>
    <w:rsid w:val="001F102D"/>
    <w:rsid w:val="00216B0C"/>
    <w:rsid w:val="00216CCB"/>
    <w:rsid w:val="00347DBD"/>
    <w:rsid w:val="00381CD4"/>
    <w:rsid w:val="003A6F33"/>
    <w:rsid w:val="00401FE1"/>
    <w:rsid w:val="004039D8"/>
    <w:rsid w:val="00423FD2"/>
    <w:rsid w:val="004514FB"/>
    <w:rsid w:val="00462FC3"/>
    <w:rsid w:val="00495F5D"/>
    <w:rsid w:val="005179A0"/>
    <w:rsid w:val="005240AF"/>
    <w:rsid w:val="006025DE"/>
    <w:rsid w:val="006864AE"/>
    <w:rsid w:val="006F1207"/>
    <w:rsid w:val="00741620"/>
    <w:rsid w:val="00807BFE"/>
    <w:rsid w:val="0081475B"/>
    <w:rsid w:val="008459A3"/>
    <w:rsid w:val="008D0F57"/>
    <w:rsid w:val="00936C04"/>
    <w:rsid w:val="00947D61"/>
    <w:rsid w:val="009F5415"/>
    <w:rsid w:val="00B3379D"/>
    <w:rsid w:val="00B33EDD"/>
    <w:rsid w:val="00B95213"/>
    <w:rsid w:val="00C478AA"/>
    <w:rsid w:val="00D31EE6"/>
    <w:rsid w:val="00E01A49"/>
    <w:rsid w:val="00E57DC9"/>
    <w:rsid w:val="00F1639D"/>
    <w:rsid w:val="00F31F15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B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B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999">
          <w:marLeft w:val="0"/>
          <w:marRight w:val="0"/>
          <w:marTop w:val="0"/>
          <w:marBottom w:val="0"/>
          <w:divBdr>
            <w:top w:val="single" w:sz="6" w:space="0" w:color="FF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366</Words>
  <Characters>2087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李磊</cp:lastModifiedBy>
  <cp:revision>21</cp:revision>
  <dcterms:created xsi:type="dcterms:W3CDTF">2020-03-17T03:07:00Z</dcterms:created>
  <dcterms:modified xsi:type="dcterms:W3CDTF">2020-03-23T02:39:00Z</dcterms:modified>
</cp:coreProperties>
</file>