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EADB0" w14:textId="1E1DA4EC" w:rsidR="00931FBB" w:rsidRDefault="00931FBB" w:rsidP="00931FBB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ED1382">
        <w:rPr>
          <w:rFonts w:ascii="黑体" w:eastAsia="黑体" w:hint="eastAsia"/>
          <w:sz w:val="32"/>
          <w:szCs w:val="32"/>
        </w:rPr>
        <w:t>1</w:t>
      </w:r>
    </w:p>
    <w:p w14:paraId="36EA2463" w14:textId="77777777" w:rsidR="00931FBB" w:rsidRDefault="00931FBB" w:rsidP="00931FBB">
      <w:pPr>
        <w:snapToGrid w:val="0"/>
        <w:jc w:val="left"/>
        <w:rPr>
          <w:rFonts w:ascii="方正小标宋简体" w:eastAsia="方正小标宋简体"/>
          <w:sz w:val="28"/>
          <w:szCs w:val="28"/>
        </w:rPr>
      </w:pPr>
    </w:p>
    <w:p w14:paraId="4F82AFB9" w14:textId="77777777" w:rsidR="00931FBB" w:rsidRDefault="00931FBB" w:rsidP="00931FBB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t>第二十届上海市百万青少年争创“明日科技之星”</w:t>
      </w:r>
    </w:p>
    <w:p w14:paraId="639C2A2A" w14:textId="77777777" w:rsidR="00931FBB" w:rsidRDefault="00931FBB" w:rsidP="00931FBB">
      <w:pPr>
        <w:snapToGrid w:val="0"/>
        <w:spacing w:line="276" w:lineRule="auto"/>
        <w:ind w:leftChars="-200" w:left="-420" w:rightChars="-199" w:right="-418"/>
        <w:jc w:val="center"/>
        <w:rPr>
          <w:rFonts w:ascii="方正小标宋简体" w:eastAsia="方正小标宋简体"/>
          <w:spacing w:val="-10"/>
          <w:sz w:val="38"/>
          <w:szCs w:val="38"/>
        </w:rPr>
      </w:pPr>
      <w:r>
        <w:rPr>
          <w:rFonts w:ascii="方正小标宋简体" w:eastAsia="方正小标宋简体" w:hint="eastAsia"/>
          <w:spacing w:val="-10"/>
          <w:sz w:val="38"/>
          <w:szCs w:val="38"/>
        </w:rPr>
        <w:t>大学生评选活动</w:t>
      </w:r>
      <w:r>
        <w:rPr>
          <w:rFonts w:ascii="方正小标宋简体" w:eastAsia="方正小标宋简体" w:hint="eastAsia"/>
          <w:sz w:val="38"/>
          <w:szCs w:val="38"/>
        </w:rPr>
        <w:t>评审规则</w:t>
      </w:r>
    </w:p>
    <w:p w14:paraId="790A84EA" w14:textId="77777777" w:rsidR="00931FBB" w:rsidRDefault="00931FBB" w:rsidP="00931FBB">
      <w:pPr>
        <w:adjustRightInd w:val="0"/>
        <w:snapToGrid w:val="0"/>
        <w:spacing w:line="560" w:lineRule="exact"/>
        <w:rPr>
          <w:rFonts w:eastAsia="仿宋"/>
          <w:b/>
          <w:sz w:val="32"/>
          <w:szCs w:val="32"/>
        </w:rPr>
      </w:pPr>
    </w:p>
    <w:p w14:paraId="239A084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一、本规则由大学生评选活动组委会根据相关文件精神制定。</w:t>
      </w:r>
    </w:p>
    <w:p w14:paraId="673C94FC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二、评审委员会</w:t>
      </w:r>
    </w:p>
    <w:p w14:paraId="1A2C77CB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1.评审委员会由主办单位聘请来自高校、企业或相关科研院所等相关领域的专家组成。</w:t>
      </w:r>
    </w:p>
    <w:p w14:paraId="36FC5DF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2.评审委员会设主任一名，评审委员会下设若干专业组，各组设组长一名。</w:t>
      </w:r>
    </w:p>
    <w:p w14:paraId="0AADC7EB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3.评审委员会组织专家及有关人员负责对参评作品分类、统计、送阅和评审的组织服务工作。</w:t>
      </w:r>
    </w:p>
    <w:p w14:paraId="47DB272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三、评审原则</w:t>
      </w:r>
    </w:p>
    <w:p w14:paraId="3D7A30DA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1.参评作品分科技发明作品、学术论文、调查报告三类。</w:t>
      </w:r>
    </w:p>
    <w:p w14:paraId="13B0F6B0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评审过程中综合考虑作品的创新性、科学性和经济价值、社会效益等方面因素。在科技发明作品的评审中，作品的科学性、创新性和应用性分别占30%、40%和30%的比重；在学术论文和调查报告的评审中，作品的科学性、创新性和现实意义分别占30%、40%和30%的比重。</w:t>
      </w:r>
    </w:p>
    <w:p w14:paraId="06F4691A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评审工作分网上初评、专家面对面、风采展示三个环节进行。通过网上初评环节，从各高校上报推荐的作品中评选出110个学生个人或团队作品进入专家面对面环节；通过面对面专家评选环节评选特等奖、一等奖12个学生个人或团队、二等奖20个学生个人或团队和三等奖50个学生个人或团队的作品，其他单项奖若干名；风采展示环节将从12个学生个人或团队作品中评选出特等奖2个学生个人或团队和一等奖10个学生个人或团队</w:t>
      </w:r>
      <w:r>
        <w:rPr>
          <w:rFonts w:ascii="仿宋_GB2312" w:eastAsia="仿宋_GB2312" w:hint="eastAsia"/>
          <w:sz w:val="30"/>
          <w:szCs w:val="30"/>
        </w:rPr>
        <w:lastRenderedPageBreak/>
        <w:t>作品。</w:t>
      </w:r>
    </w:p>
    <w:p w14:paraId="6970AF8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4.评审时考虑到专科生/高职生、本科生、硕士研究生、博士研究生在学识水平和科研能力上的差异，各学历层次学生作品的获奖人数,评审委员会将按参评数确定一定的比例。</w:t>
      </w:r>
    </w:p>
    <w:p w14:paraId="230AF13D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5.初评采取网上评审，专家面对面采取现场问辩，风采展示采取演讲和作品展示的方式。</w:t>
      </w:r>
    </w:p>
    <w:p w14:paraId="75D57C29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四、附则</w:t>
      </w:r>
    </w:p>
    <w:p w14:paraId="1A092A48" w14:textId="22162960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1.各学院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要按照第二十届上海市百万青少年争创“明日科技之星”大学生评选活动实施方案和本评审规则的规定，对报送的作品进行严格的资格和形式审查。</w:t>
      </w:r>
    </w:p>
    <w:p w14:paraId="6CA7C985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2.组委会将对各高校报送的作品进行资格及形式审查，不合格的作品将取消参评资格。</w:t>
      </w:r>
    </w:p>
    <w:p w14:paraId="7BEAEA73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3.各高校自行组织校内初评，初评的评审可以参照本评审规则的要求组织。</w:t>
      </w:r>
    </w:p>
    <w:p w14:paraId="7E3136C8" w14:textId="77777777" w:rsidR="00931FBB" w:rsidRDefault="00931FBB" w:rsidP="00931FBB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4.本规则解释权归大学生评选活动组委会所有。</w:t>
      </w:r>
    </w:p>
    <w:p w14:paraId="6D76C838" w14:textId="7BD4BF53" w:rsidR="00E37CE9" w:rsidRDefault="00B824E7" w:rsidP="00931FBB"/>
    <w:sectPr w:rsidR="00E3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3B8B6" w14:textId="77777777" w:rsidR="00B824E7" w:rsidRDefault="00B824E7" w:rsidP="00931FBB">
      <w:r>
        <w:separator/>
      </w:r>
    </w:p>
  </w:endnote>
  <w:endnote w:type="continuationSeparator" w:id="0">
    <w:p w14:paraId="564EB276" w14:textId="77777777" w:rsidR="00B824E7" w:rsidRDefault="00B824E7" w:rsidP="009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6AB6" w14:textId="77777777" w:rsidR="00B824E7" w:rsidRDefault="00B824E7" w:rsidP="00931FBB">
      <w:r>
        <w:separator/>
      </w:r>
    </w:p>
  </w:footnote>
  <w:footnote w:type="continuationSeparator" w:id="0">
    <w:p w14:paraId="00D98C9C" w14:textId="77777777" w:rsidR="00B824E7" w:rsidRDefault="00B824E7" w:rsidP="0093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1"/>
    <w:rsid w:val="000719A7"/>
    <w:rsid w:val="000C7F6C"/>
    <w:rsid w:val="00931FBB"/>
    <w:rsid w:val="00B81264"/>
    <w:rsid w:val="00B824E7"/>
    <w:rsid w:val="00D429DA"/>
    <w:rsid w:val="00EB78D1"/>
    <w:rsid w:val="00ED1382"/>
    <w:rsid w:val="00F54F72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20BB"/>
  <w15:chartTrackingRefBased/>
  <w15:docId w15:val="{2D6D8226-CA9D-44CE-84A6-D65C826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F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郏 星宇</dc:creator>
  <cp:keywords/>
  <dc:description/>
  <cp:lastModifiedBy>nancyshao</cp:lastModifiedBy>
  <cp:revision>5</cp:revision>
  <dcterms:created xsi:type="dcterms:W3CDTF">2021-12-20T09:14:00Z</dcterms:created>
  <dcterms:modified xsi:type="dcterms:W3CDTF">2021-12-27T02:12:00Z</dcterms:modified>
</cp:coreProperties>
</file>